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7955" w14:textId="77777777" w:rsidR="00E21249" w:rsidRDefault="00E21249" w:rsidP="00E21249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SL</w:t>
      </w:r>
    </w:p>
    <w:p w14:paraId="31477444" w14:textId="77777777" w:rsidR="00E21249" w:rsidRDefault="00E21249" w:rsidP="00E21249">
      <w:pPr>
        <w:rPr>
          <w:rFonts w:asciiTheme="minorHAnsi" w:hAnsiTheme="minorHAnsi"/>
          <w:sz w:val="22"/>
        </w:rPr>
      </w:pPr>
    </w:p>
    <w:p w14:paraId="4F5FBDAA" w14:textId="325443EF" w:rsidR="00C87CEE" w:rsidRPr="00F4528F" w:rsidRDefault="009F0F81" w:rsidP="00D64B66">
      <w:pPr>
        <w:pStyle w:val="Titrearticle"/>
        <w:keepNext w:val="0"/>
        <w:outlineLvl w:val="0"/>
        <w:rPr>
          <w:i w:val="0"/>
        </w:rPr>
      </w:pPr>
      <w:r>
        <w:rPr>
          <w:i w:val="0"/>
        </w:rPr>
        <w:t>PRILOGA VII</w:t>
      </w:r>
    </w:p>
    <w:p w14:paraId="26FC133A" w14:textId="59A74890" w:rsidR="00C87CEE" w:rsidRPr="00F4528F" w:rsidRDefault="00713F52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NAVODILA ZA POROČANJE O IZGUBAH IZ NASLOVA KREDITOV, ZAVAROVANIH Z NEPREMIČNINAMI</w:t>
      </w:r>
    </w:p>
    <w:p w14:paraId="2F7A6433" w14:textId="77777777" w:rsidR="00502390" w:rsidRPr="00F4528F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F4528F" w:rsidSect="00E577B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3EA9A525" w:rsidR="00C87CE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lastRenderedPageBreak/>
        <w:t>1.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Ta priloga vsebuje navodila v zvezi s predlogami iz Priloge VI k tej uredbi.</w:t>
      </w:r>
    </w:p>
    <w:p w14:paraId="38924FD3" w14:textId="36DF2FD0" w:rsidR="00013EF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2.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Veljajo tudi vsa splošna navodila iz dela I Priloge II k tej uredbi.</w:t>
      </w:r>
    </w:p>
    <w:p w14:paraId="600D280B" w14:textId="77777777" w:rsidR="00325A59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1.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</w:rPr>
        <w:t>Obseg poročanja</w:t>
      </w:r>
    </w:p>
    <w:p w14:paraId="359D7D30" w14:textId="4FEFDEC0" w:rsidR="000907F9" w:rsidRPr="008A4E00" w:rsidRDefault="001E7A23" w:rsidP="002B6F88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Institucije, ki uporabljajo nepremičnine v skladu z delom 3, naslov II, Uredbe (EU) št. 575/2013, poročajo podatke, določene v členu 430a(1) Uredbe (EU) št. 575/2013. </w:t>
      </w:r>
    </w:p>
    <w:p w14:paraId="11A2B1D6" w14:textId="4041595C" w:rsidR="00FA5CA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4.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Predloga zajema vse nacionalne trge, ki jim je izpostavljena institucija/skupina institucij (glej člen 430a(1) Uredbe (EU) št. 575/2013). V skladu s tretjim stavkom člena 430a(2) je treba podatke poročati ločeno za vsak nepremičninski trg v Uniji. </w:t>
      </w:r>
    </w:p>
    <w:p w14:paraId="298D1BC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2.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</w:rPr>
        <w:t>Opredelitev pojmov</w:t>
      </w:r>
    </w:p>
    <w:p w14:paraId="2570AF77" w14:textId="02CB4066" w:rsidR="00373A7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5.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„Izguba“ pomeni izgubo, kot je opredeljena v točki 2 člena 5 Uredbe (EU) št. 575/2013, vključno z izgubami, ki izhajajo iz zakupljenega premoženja. </w:t>
      </w:r>
      <w:r>
        <w:rPr>
          <w:rStyle w:val="InstructionsTabelleText"/>
          <w:rFonts w:ascii="Times New Roman" w:hAnsi="Times New Roman"/>
          <w:sz w:val="24"/>
          <w:u w:val="none"/>
        </w:rPr>
        <w:t xml:space="preserve">Tokovi poplačil iz drugih virov (npr. bančna jamstva, življenjsko zavarovanje itd.) se pri izračunu izgub iz naslova nepremičnin ne pripoznajo kot zmanjšanje teh izgub. </w:t>
      </w:r>
      <w:r>
        <w:rPr>
          <w:rFonts w:ascii="Times New Roman" w:hAnsi="Times New Roman"/>
          <w:sz w:val="24"/>
          <w:u w:val="none"/>
        </w:rPr>
        <w:t>Izgube ene pozicije se ne pobotajo z dobičkom iz uspešnega poplačila druge pozicije.</w:t>
      </w:r>
    </w:p>
    <w:p w14:paraId="6F0824D8" w14:textId="0A599737" w:rsidR="00920D6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6.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Izračun ekonomske izgube izhaja iz vrednosti neporavnane izpostavljenosti na datum poročanja in vključuje vsaj: (i) prihodke iz unovčenja zavarovanja s premoženjem; (ii) neposredne stroške (vključno s plačili obrestnih mer in stroški izterjave, povezanimi z </w:t>
      </w:r>
      <w:r>
        <w:rPr>
          <w:rFonts w:ascii="Times New Roman" w:hAnsi="Times New Roman"/>
          <w:sz w:val="24"/>
          <w:u w:val="none"/>
        </w:rPr>
        <w:lastRenderedPageBreak/>
        <w:t>unovčenjem zavarovanja s premoženjem); in (iii) posredne stroške (vključno z operativnimi stroški enote za izterjavo). Vsi sestavni deli se diskontirajo do referenčnega datuma poročanja.</w:t>
      </w:r>
    </w:p>
    <w:p w14:paraId="267A70A6" w14:textId="1C8033F6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7.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Vrednost izpostavljenosti se določi v skladu s pravili iz naslova II dela 3 Uredbe (EU) št. 575/2013 (v zvezi z institucijami, ki uporabljajo standardizirani pristop, glej poglavje 2, v zvezi z institucijami, ki uporabljajo pristop IRB, pa poglavje 3).</w:t>
      </w:r>
    </w:p>
    <w:p w14:paraId="424065A6" w14:textId="1475E130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8.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Vrednost nepremičnine se določi v skladu </w:t>
      </w:r>
      <w:r>
        <w:rPr>
          <w:rStyle w:val="InstructionsTabelleText"/>
          <w:rFonts w:ascii="Times New Roman" w:hAnsi="Times New Roman"/>
          <w:sz w:val="24"/>
        </w:rPr>
        <w:t>s členom 4(1), točka 74a,</w:t>
      </w:r>
      <w:r>
        <w:rPr>
          <w:rFonts w:ascii="Times New Roman" w:hAnsi="Times New Roman"/>
          <w:sz w:val="24"/>
          <w:u w:val="none"/>
        </w:rPr>
        <w:t xml:space="preserve"> Uredbe (EU) št. 575/2013.</w:t>
      </w:r>
    </w:p>
    <w:p w14:paraId="3B8866E0" w14:textId="623D5995" w:rsidR="00840FC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Učinek menjalnih tečajev: Zneski se pretvorijo v valuto poročanja z uporabo menjalnega tečaja, veljavnega na datum poročanja. Če je izpostavljenost ali zavarovanje s premoženjem </w:t>
      </w:r>
      <w:proofErr w:type="spellStart"/>
      <w:r>
        <w:rPr>
          <w:rFonts w:ascii="Times New Roman" w:hAnsi="Times New Roman"/>
          <w:sz w:val="24"/>
          <w:u w:val="none"/>
        </w:rPr>
        <w:t>denominirano</w:t>
      </w:r>
      <w:proofErr w:type="spellEnd"/>
      <w:r>
        <w:rPr>
          <w:rFonts w:ascii="Times New Roman" w:hAnsi="Times New Roman"/>
          <w:sz w:val="24"/>
          <w:u w:val="none"/>
        </w:rPr>
        <w:t xml:space="preserve"> v drugi valuti, je treba poleg tega pri ocenah ekonomskih izgub upoštevati učinek menjalnih tečajev.</w:t>
      </w:r>
    </w:p>
    <w:p w14:paraId="7ADF637B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3.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</w:rPr>
        <w:t>Geografska razčlenitev</w:t>
      </w:r>
    </w:p>
    <w:p w14:paraId="66F86A28" w14:textId="68A51B3F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10.</w:t>
      </w:r>
      <w:r>
        <w:tab/>
      </w:r>
      <w:r>
        <w:rPr>
          <w:rFonts w:ascii="Times New Roman" w:hAnsi="Times New Roman"/>
          <w:sz w:val="24"/>
          <w:u w:val="none"/>
        </w:rPr>
        <w:t>Institucije poročajo naslednje predloge:</w:t>
      </w:r>
    </w:p>
    <w:p w14:paraId="630D5FC3" w14:textId="77777777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(a)</w:t>
      </w:r>
      <w:r>
        <w:tab/>
      </w:r>
      <w:r>
        <w:rPr>
          <w:rFonts w:ascii="Times New Roman" w:hAnsi="Times New Roman"/>
          <w:sz w:val="24"/>
          <w:u w:val="none"/>
        </w:rPr>
        <w:t>eno predlogo s skupnimi zneski,</w:t>
      </w:r>
    </w:p>
    <w:p w14:paraId="131FB6E0" w14:textId="21132544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(b)</w:t>
      </w:r>
      <w:r>
        <w:tab/>
      </w:r>
      <w:r>
        <w:rPr>
          <w:rFonts w:ascii="Times New Roman" w:hAnsi="Times New Roman"/>
          <w:sz w:val="24"/>
          <w:u w:val="none"/>
        </w:rPr>
        <w:t>eno predlogo za vsak nacionalni trg v Uniji, ki mu je izpostavljena institucija, in</w:t>
      </w:r>
    </w:p>
    <w:p w14:paraId="42B76C97" w14:textId="76897253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(c)</w:t>
      </w:r>
      <w:r>
        <w:tab/>
      </w:r>
      <w:r>
        <w:rPr>
          <w:rFonts w:ascii="Times New Roman" w:hAnsi="Times New Roman"/>
          <w:sz w:val="24"/>
          <w:u w:val="none"/>
        </w:rPr>
        <w:t xml:space="preserve">eno predlogo, v kateri so združeni podatki za vse nacionalne trge zunaj Unije, ki jim je izpostavljena institucija. </w:t>
      </w:r>
    </w:p>
    <w:p w14:paraId="11CDC60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4.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</w:rPr>
        <w:t>Poročanje o izpostavljenostih in izgubah</w:t>
      </w:r>
    </w:p>
    <w:p w14:paraId="7DA3503A" w14:textId="02BE28D2" w:rsidR="007E3047" w:rsidRDefault="001E7A23" w:rsidP="00E27BC7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11.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Izpostavljenosti in izgube se poročajo na naslednji način:</w:t>
      </w:r>
    </w:p>
    <w:p w14:paraId="0806F39A" w14:textId="47B78A1A" w:rsidR="00E27BC7" w:rsidRDefault="00415BAF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stolpec 0010: izgube, ki se poročajo v skladu s členom 430a(1), točki (a) in (d), so izgube iz naslova izpostavljenosti, pri katerih institucija prizna zavarovanje s stanovanjsko ali poslovno nepremičnino, v vsakem primeru do višine zastavljenega zneska ali 55 % vrednosti stanovanjske nepremičnine, kar je nižje, razen če je v skladu s členom 124(9) določeno drugače, kadar je ustrezno. Izgube izhajajo iz izpostavljenosti, določenih v skladu s pravili iz naslova II dela 3 Uredbe (EU) št. 575/2013;</w:t>
      </w:r>
    </w:p>
    <w:p w14:paraId="0DBC1AB6" w14:textId="20D2E23B" w:rsidR="00E27BC7" w:rsidRDefault="00CE73B0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stolpec 0030: izgube, ki se poročajo v skladu s členom 430a(1), točki (b) in (e), so izgube iz naslova izpostavljenosti, pri katerih institucija prizna zavarovanje s stanovanjsko ali poslovno nepremičnino, v vsakem primeru do višine zastavljenega zneska ali 100 % vrednosti stanovanjske nepremičnine, kar je nižje. Izgube izhajajo iz izpostavljenosti, določenih v skladu s pravili iz naslova II dela 3 Uredbe (EU) št. 575/2013;</w:t>
      </w:r>
    </w:p>
    <w:p w14:paraId="2C15211F" w14:textId="47254851" w:rsidR="009E21CF" w:rsidRPr="00820370" w:rsidRDefault="00CE73B0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stolpec 0050: vrednosti neporavnanih izpostavljenosti, ki se poročajo v skladu s členom 430a(1), točki (c) in (f), so izpostavljenosti, pri katerih banka prizna zavarovanje s stanovanjsko ali poslovno nepremičnino, v vsakem primeru do višine zastavljenega zneska ali 100 % vrednosti stanovanjske nepremičnine, kar je nižje. Vrednosti izpostavljenosti se določijo v skladu s pravili iz naslova II dela 3 Uredbe (EU) št. 575/2013;</w:t>
      </w:r>
    </w:p>
    <w:p w14:paraId="75C4E60E" w14:textId="2244A615" w:rsidR="003F65EC" w:rsidRDefault="00DD2656" w:rsidP="00DD6D4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 xml:space="preserve">vse izpostavljenosti, zavarovane s stanovanjskimi in poslovnimi nepremičninami, za katere veljajo zahteve iz naslova II dela 3 Uredbe (EU) št. 575/2013 in če bi pripoznanje </w:t>
      </w:r>
      <w:r>
        <w:rPr>
          <w:rFonts w:ascii="Times New Roman" w:hAnsi="Times New Roman"/>
          <w:sz w:val="24"/>
          <w:u w:val="none"/>
        </w:rPr>
        <w:lastRenderedPageBreak/>
        <w:t>zavarovanja s premoženjem privedlo do zmanjšanja zneska tveganju prilagojenih izpostavljenosti, tudi če to zmanjšanje razveljavi pristojni ali imenovani organ, kadar se uporablja členu 124(9), se poročajo v predlogi C 15.00. To pomeni tudi, da se zadevne izpostavljenosti in izgube ne poročajo, če se učinek zmanjševanja tveganja nepremičnine uporabi le za notranje namene (tj. v okviru stebra 2) ali za velike izpostavljenosti (glej del 4 Uredbe (EU) št. 575/2013). Zlasti se ne poročajo izpostavljenosti na podlagi člena 124(1) Uredbe (EU) št. 575/2013. Izpostavljenosti se poročajo tudi, če so neplačane;</w:t>
      </w:r>
    </w:p>
    <w:p w14:paraId="355D0107" w14:textId="405B1CCF" w:rsidR="008C6A88" w:rsidRPr="008A4E00" w:rsidRDefault="004C41D1" w:rsidP="00DD6D4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 xml:space="preserve">v skladu s členom 430a(1), točki (a) in (d), Uredbe (EU) št. 575/2013 se, kadar se uporablja člen 124(9), podatki poročajo v stolpcu 0010 skladno s prilagojenimi referenčnimi odstotki. Podatki se poročajo v stolpcih 0030–0050 v skladu s členom 430a(1), točke (b), (c), (e) in (f). </w:t>
      </w:r>
    </w:p>
    <w:p w14:paraId="476B3438" w14:textId="4EA61BBD" w:rsidR="000471B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12.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Izgube: institucija, ki ima zadevno izpostavljenost do konca obdobja poročanja, poroča izgube. Izgube se poročajo takoj, ko je treba v skladu z računovodskimi pravili vknjižiti rezervacije. Poročajo se tudi ocenjene izgube. Izgube iz naslova izpostavljenosti, zavarovanih z nepremičninami, se izračunajo za vsak kredit posebej in združijo za namene poročanja.</w:t>
      </w:r>
    </w:p>
    <w:p w14:paraId="76BF16A4" w14:textId="30BD44C0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13.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Referenčni datum: uporabi se vrednost izpostavljenosti na referenčni datum. Za izpostavljenosti, pri katerih je prišlo do neplačila v obdobju, se uporabi vrednost izpostavljenosti ob neplačilu. Za izpostavljenosti, pri katerih je prišlo do neplačila v prejšnjih obdobjih, se uporabi vrednost izpostavljenosti na referenčni datum.</w:t>
      </w:r>
    </w:p>
    <w:p w14:paraId="1BD48AAA" w14:textId="4601E799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sz w:val="24"/>
          <w:u w:val="none"/>
        </w:rPr>
        <w:t>(a)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O izgubah se poroča za vsa neplačila v zvezi s krediti, zavarovanimi z nepremičninami, do katerih pride v zadevnem obdobju poročanja in ne glede na to, ali je postopek izterjave končan ali ne. Izgube, ki se morajo poročati na dan 31. december, se nanašajo na celotno koledarsko leto. </w:t>
      </w:r>
    </w:p>
    <w:p w14:paraId="43D8639D" w14:textId="4DBF6D57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sz w:val="24"/>
          <w:u w:val="none"/>
        </w:rPr>
        <w:t>(b)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Za vsa neplačila, ugotovljena v obdobju poročanja, so na voljo trije scenariji: (i) neplačani kredit se lahko prestrukturira tako, da se ne obravnava več kot neplačan (ugotovljena ni nobena izguba); (ii) dokončano je unovčenje celotnega zavarovanja s premoženjem (končan postopek izterjave, dejanska izguba je znana); ali (iii) postopek izterjave ni dokončan (uporabiti je treba ocene izgub). Poročanje o izgubah vključuje samo izgube iz scenarija (ii), tj. unovčenja zavarovanja s premoženjem (ugotovljene izgube), in scenarija (iii), tj. nedokončanega postopka izterjave (ocene izgub).</w:t>
      </w:r>
    </w:p>
    <w:p w14:paraId="5F725F4A" w14:textId="7B7604AC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sz w:val="24"/>
          <w:u w:val="none"/>
        </w:rPr>
        <w:t>(c)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Ker se izgube poročajo le za izpostavljenosti, pri katerih je prišlo do neplačila v obdobju poročanja, se spremembe izgub iz izpostavljenosti, pri katerih je prišlo do neplačila v prejšnjih obdobjih poročanja, ne upoštevajo v poročanih podatkih, tj. prihodki iz unovčenja zavarovanja s premoženjem v poznejšem obdobju poročanja ali stroški, ki so nižji od predhodnih ocen, niso vključeni v poročanje.</w:t>
      </w:r>
    </w:p>
    <w:p w14:paraId="41BE913E" w14:textId="23CFCE93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14.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Vloga ocene vrednosti nepremičnine: zadnja ocena vrednosti nepremičnine pred datumom neplačila izpostavljenosti je potrebna kot referenčna vrednost za poročanje o delu izpostavljenosti, zavarovanem s hipotekami na nepremičnine. Po nastopu neplačila se lahko vrednost nepremičnine ponovno oceni. Ta nova vrednost pa se ne sme upoštevati pri določanju dela izpostavljenosti, ki je bil prvotno </w:t>
      </w:r>
      <w:r>
        <w:rPr>
          <w:rStyle w:val="InstructionsTabelleText"/>
          <w:rFonts w:ascii="Times New Roman" w:hAnsi="Times New Roman"/>
          <w:sz w:val="24"/>
          <w:u w:val="none"/>
        </w:rPr>
        <w:t>zavarovan do dela vrednosti izpostavljenosti, zavarovanega do višine zastavljenega zneska ali 55 % vrednosti nepremičnine, kar je nižje,</w:t>
      </w:r>
      <w:r>
        <w:rPr>
          <w:rStyle w:val="InstructionsTabelleText"/>
          <w:u w:val="none"/>
        </w:rPr>
        <w:t xml:space="preserve"> </w:t>
      </w:r>
      <w:r>
        <w:rPr>
          <w:rFonts w:ascii="Times New Roman" w:hAnsi="Times New Roman"/>
          <w:sz w:val="24"/>
          <w:u w:val="none"/>
        </w:rPr>
        <w:t>razen če je v skladu s členom 124(9) Uredbe (EU) št. 575/2013 dolo</w:t>
      </w:r>
      <w:r>
        <w:rPr>
          <w:rFonts w:ascii="Times New Roman" w:hAnsi="Times New Roman"/>
          <w:sz w:val="24"/>
          <w:u w:val="none"/>
        </w:rPr>
        <w:lastRenderedPageBreak/>
        <w:t>čeno drugače. Vendar se nova vrednost nepremičnine upošteva pri poročanju o ekonomski izgubi (nižja vrednost nepremičnine je del ekonomskih stroškov). To pomeni, da se zadnja ocena vrednosti nepremičnine pred nastopom neplačila uporabi za določanje, kateri del izgube se mora poročati v stolpcu 0010, ponovno ocenjena vrednost nepremičnine pa za znesek, ki se poroča (ocena možne izterjave na podlagi zavarovanja s premoženjem) v stolpcih 0010 in 0030.</w:t>
      </w:r>
    </w:p>
    <w:p w14:paraId="46D6DEED" w14:textId="77777777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15.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Obravnava prodaje kreditov v obdobju poročanja: institucija, ki ima zadevno izpostavljenost do konca obdobja poročanja, poroča izgube, vendar le, če je bilo ugotovljeno neplačilo za zadevno izpostavljenost.</w:t>
      </w:r>
    </w:p>
    <w:p w14:paraId="3C32F70D" w14:textId="77777777" w:rsidR="00713F52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bookmarkStart w:id="2" w:name="_Toc310008820"/>
      <w:r>
        <w:rPr>
          <w:rFonts w:ascii="Times New Roman" w:hAnsi="Times New Roman"/>
          <w:sz w:val="24"/>
          <w:u w:val="none"/>
        </w:rPr>
        <w:t>5.</w:t>
      </w:r>
      <w:r w:rsidRPr="00192252">
        <w:rPr>
          <w:u w:val="none"/>
        </w:rPr>
        <w:tab/>
      </w:r>
      <w:r>
        <w:rPr>
          <w:rFonts w:ascii="Times New Roman" w:hAnsi="Times New Roman"/>
          <w:sz w:val="24"/>
        </w:rPr>
        <w:t>Navodila za posamezne pozicije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Stolpci</w:t>
            </w:r>
          </w:p>
        </w:tc>
      </w:tr>
      <w:tr w:rsidR="00713F52" w:rsidRPr="00F4528F" w14:paraId="65785922" w14:textId="77777777" w:rsidTr="00165232">
        <w:tc>
          <w:tcPr>
            <w:tcW w:w="852" w:type="dxa"/>
          </w:tcPr>
          <w:p w14:paraId="25C9EC6A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4E7F622B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Vsota izgub iz naslova kreditov do referenčnih ravni</w:t>
            </w:r>
          </w:p>
          <w:p w14:paraId="07E5E64A" w14:textId="2F881E1B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Člen 430a(1), točki (a)</w:t>
            </w:r>
            <w:r>
              <w:rPr>
                <w:rFonts w:ascii="Times New Roman" w:hAnsi="Times New Roman"/>
                <w:sz w:val="24"/>
              </w:rPr>
              <w:t xml:space="preserve"> oziroma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(d), Uredbe (EU) št. 575/2013. </w:t>
            </w:r>
          </w:p>
          <w:p w14:paraId="19C0501E" w14:textId="00748038" w:rsidR="000471B0" w:rsidRPr="008A4E00" w:rsidRDefault="00A30A3F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Vrednost nepremičnine v skladu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s členom 4(1), točka 74a,</w:t>
            </w:r>
            <w:r>
              <w:rPr>
                <w:rFonts w:ascii="Times New Roman" w:hAnsi="Times New Roman"/>
                <w:sz w:val="24"/>
              </w:rPr>
              <w:t xml:space="preserve"> Uredbe (EU) št. 575/2013.</w:t>
            </w:r>
          </w:p>
          <w:p w14:paraId="01CE6153" w14:textId="48C64144" w:rsidR="000471B0" w:rsidRPr="00F67747" w:rsidRDefault="00D87924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V tem stolpcu so zbrane vse izgube iz naslova izpostavljenosti, pri katerih institucija prizna zavarovanje s stanovanjsko ali poslovno nepremičnino, v vsakem primeru do dela vrednosti izpostavljenosti, zavarovanega do višine zastavljenega zneska ali 55 % vrednosti stanovanjske nepremičnine, kar je nižje,</w:t>
            </w:r>
            <w:r>
              <w:rPr>
                <w:rStyle w:val="InstructionsTabelleTex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razen če je v skladu s členom 124(9) določeno drugače, kadar je ustrezno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13F52" w:rsidRPr="00F4528F" w14:paraId="1CB24F02" w14:textId="77777777" w:rsidTr="00165232">
        <w:tc>
          <w:tcPr>
            <w:tcW w:w="852" w:type="dxa"/>
          </w:tcPr>
          <w:p w14:paraId="6FC3B1A8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41837ECE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Vsota skupnih izgub</w:t>
            </w:r>
          </w:p>
          <w:p w14:paraId="7CD90D4F" w14:textId="4EFAFAF3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Člen 430a(1), točki (b) in (e), Uredbe (EU) št. 575/2013. </w:t>
            </w:r>
            <w:r>
              <w:rPr>
                <w:rFonts w:ascii="Times New Roman" w:hAnsi="Times New Roman"/>
                <w:sz w:val="24"/>
              </w:rPr>
              <w:t xml:space="preserve">Vrednost nepremičnine v skladu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s členom 4(1), točka 74a,</w:t>
            </w:r>
            <w:r>
              <w:rPr>
                <w:rFonts w:ascii="Times New Roman" w:hAnsi="Times New Roman"/>
                <w:sz w:val="24"/>
              </w:rPr>
              <w:t xml:space="preserve"> Uredbe (EU) št. 575/2013.</w:t>
            </w:r>
          </w:p>
          <w:p w14:paraId="2DE09B4B" w14:textId="2B3BA46D" w:rsidR="004E748D" w:rsidRPr="00F402D0" w:rsidRDefault="00713F52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V tem stolpcu so zbrane vse izgube iz naslova izpostavljenosti, pri katerih institucija prizna zavarovanje s stanovanjsko ali poslovno nepremičnino, v vsakem primeru do dela vrednosti izpostavljenosti, zavarovanega do višine zastavljenega zneska ali 100 % vrednosti stanovanjske nepremičnine, kar je nižje.</w:t>
            </w:r>
          </w:p>
        </w:tc>
      </w:tr>
      <w:tr w:rsidR="00713F52" w:rsidRPr="00F4528F" w14:paraId="348F65B2" w14:textId="77777777" w:rsidTr="00165232">
        <w:tc>
          <w:tcPr>
            <w:tcW w:w="852" w:type="dxa"/>
          </w:tcPr>
          <w:p w14:paraId="3DB16A06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004" w:type="dxa"/>
          </w:tcPr>
          <w:p w14:paraId="5A3D4AC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Vsota izpostavljenosti</w:t>
            </w:r>
          </w:p>
          <w:p w14:paraId="7C6ADC5B" w14:textId="3D42E377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Člen 430a(1), točki (c) in (f),</w:t>
            </w:r>
            <w:r>
              <w:rPr>
                <w:rFonts w:ascii="Times New Roman" w:hAnsi="Times New Roman"/>
                <w:sz w:val="24"/>
              </w:rPr>
              <w:t xml:space="preserve"> Uredbe (EU) št. 575/2013.</w:t>
            </w:r>
          </w:p>
          <w:p w14:paraId="59F027DB" w14:textId="5CBC3927" w:rsidR="00206DF5" w:rsidRDefault="00DC5657" w:rsidP="00A6020A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Vrednost izpostavljenosti, pri katerih banka prizna stanovanjsko ali poslovno nepremičnino, v vsakem primeru do dela vrednosti izpostavljenosti, zavarovanega do višine zastavljenega zneska ali 100 % vrednosti stanovanjske nepremičnine, kar je nižje.</w:t>
            </w:r>
          </w:p>
          <w:p w14:paraId="1CF31593" w14:textId="7B1602CE" w:rsidR="00A122F8" w:rsidRPr="008A4E00" w:rsidRDefault="00A122F8" w:rsidP="000D2664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 primeru neplačila se za izpostavljenosti, pri katerih je v obdobju prišlo do neplačila, poroča vrednost izpostavljenosti tik pred neplačilom, za izpostavljenosti, pri katerih je prišlo do neplačila v preteklih obdobjih, pa vrednost izpostavljenosti na referenčni datum.</w:t>
            </w:r>
          </w:p>
        </w:tc>
      </w:tr>
    </w:tbl>
    <w:p w14:paraId="7C3D2777" w14:textId="77777777" w:rsidR="00713F52" w:rsidRPr="008A4E0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Vrstice</w:t>
            </w:r>
          </w:p>
        </w:tc>
      </w:tr>
      <w:tr w:rsidR="00713F52" w:rsidRPr="00F4528F" w14:paraId="4992A2CA" w14:textId="77777777" w:rsidTr="00165232">
        <w:tc>
          <w:tcPr>
            <w:tcW w:w="852" w:type="dxa"/>
          </w:tcPr>
          <w:p w14:paraId="20440DBB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6DCF7D0C" w14:textId="77777777" w:rsidR="000471B0" w:rsidRDefault="00F76469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Stanovanjske nepremičnine </w:t>
            </w:r>
          </w:p>
          <w:p w14:paraId="4BFD2574" w14:textId="2863C850" w:rsidR="00835C71" w:rsidRPr="008A4E00" w:rsidRDefault="00835C71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„Stanovanjske nepremičnine“ kot so opredeljene v členu 4(1)</w:t>
            </w:r>
            <w:r>
              <w:rPr>
                <w:rFonts w:ascii="Times New Roman" w:hAnsi="Times New Roman"/>
                <w:sz w:val="24"/>
              </w:rPr>
              <w:t>, točka 75, Uredbe (EU) št.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</w:p>
        </w:tc>
      </w:tr>
      <w:tr w:rsidR="00713F52" w:rsidRPr="00F4528F" w14:paraId="738518EC" w14:textId="77777777" w:rsidTr="00165232">
        <w:tc>
          <w:tcPr>
            <w:tcW w:w="852" w:type="dxa"/>
          </w:tcPr>
          <w:p w14:paraId="197BFC72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0020 </w:t>
            </w:r>
          </w:p>
        </w:tc>
        <w:tc>
          <w:tcPr>
            <w:tcW w:w="8004" w:type="dxa"/>
          </w:tcPr>
          <w:p w14:paraId="7BAFC089" w14:textId="77777777" w:rsidR="00A50938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Poslovne nepremičnine</w:t>
            </w:r>
          </w:p>
          <w:p w14:paraId="44906BD1" w14:textId="55C01692" w:rsidR="000471B0" w:rsidRPr="008A4E00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„Poslovne nepremičnine“ kot so opredeljene v členu 4(1)</w:t>
            </w:r>
            <w:r>
              <w:rPr>
                <w:rFonts w:ascii="Times New Roman" w:hAnsi="Times New Roman"/>
                <w:sz w:val="24"/>
              </w:rPr>
              <w:t>, točka 75a, Uredbe (EU) št.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</w:p>
        </w:tc>
      </w:tr>
      <w:bookmarkEnd w:id="0"/>
      <w:bookmarkEnd w:id="1"/>
      <w:bookmarkEnd w:id="2"/>
    </w:tbl>
    <w:p w14:paraId="541A1A6E" w14:textId="77777777" w:rsidR="00D92396" w:rsidRPr="008A4E0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8A4E0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2589" w14:textId="77777777" w:rsidR="00640FF8" w:rsidRDefault="00640FF8" w:rsidP="00D946DB">
      <w:pPr>
        <w:spacing w:before="0" w:after="0"/>
      </w:pPr>
      <w:r>
        <w:separator/>
      </w:r>
    </w:p>
  </w:endnote>
  <w:endnote w:type="continuationSeparator" w:id="0">
    <w:p w14:paraId="233F7309" w14:textId="77777777" w:rsidR="00640FF8" w:rsidRDefault="00640FF8" w:rsidP="00D946DB">
      <w:pPr>
        <w:spacing w:before="0" w:after="0"/>
      </w:pPr>
      <w:r>
        <w:continuationSeparator/>
      </w:r>
    </w:p>
  </w:endnote>
  <w:endnote w:type="continuationNotice" w:id="1">
    <w:p w14:paraId="5839C73F" w14:textId="77777777" w:rsidR="00640FF8" w:rsidRDefault="00640F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98FD0" w14:textId="77777777" w:rsidR="00422064" w:rsidRDefault="005D25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8ED0D7" w14:textId="77777777" w:rsidR="00422064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845FA" w14:textId="62FC12DF" w:rsidR="00422064" w:rsidRDefault="005D254B">
    <w:pPr>
      <w:pStyle w:val="Footer"/>
      <w:tabs>
        <w:tab w:val="left" w:pos="8640"/>
      </w:tabs>
      <w:ind w:right="6"/>
      <w:jc w:val="right"/>
    </w:pPr>
    <w:r>
      <w:rPr>
        <w:rStyle w:val="PageNumber"/>
        <w:rFonts w:cs="Verdana"/>
      </w:rPr>
      <w:fldChar w:fldCharType="begin"/>
    </w:r>
    <w:r>
      <w:rPr>
        <w:rStyle w:val="PageNumber"/>
        <w:rFonts w:cs="Verdana"/>
      </w:rPr>
      <w:instrText xml:space="preserve">PAGE  </w:instrText>
    </w:r>
    <w:r>
      <w:rPr>
        <w:rStyle w:val="PageNumber"/>
        <w:rFonts w:cs="Verdana"/>
      </w:rPr>
      <w:fldChar w:fldCharType="separate"/>
    </w:r>
    <w:r>
      <w:rPr>
        <w:rStyle w:val="PageNumber"/>
        <w:rFonts w:cs="Verdana"/>
      </w:rPr>
      <w:t>5</w:t>
    </w:r>
    <w:r>
      <w:rPr>
        <w:rStyle w:val="PageNumber"/>
        <w:rFonts w:cs="Verda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674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63BD4" w14:textId="1A4F860A" w:rsidR="00D452AA" w:rsidRDefault="00D452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1F2028A" w14:textId="77777777" w:rsidR="00A6020A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C588" w14:textId="77777777" w:rsidR="00640FF8" w:rsidRDefault="00640FF8" w:rsidP="00D946DB">
      <w:pPr>
        <w:spacing w:before="0" w:after="0"/>
      </w:pPr>
      <w:r>
        <w:separator/>
      </w:r>
    </w:p>
  </w:footnote>
  <w:footnote w:type="continuationSeparator" w:id="0">
    <w:p w14:paraId="4D79FF37" w14:textId="77777777" w:rsidR="00640FF8" w:rsidRDefault="00640FF8" w:rsidP="00D946DB">
      <w:pPr>
        <w:spacing w:before="0" w:after="0"/>
      </w:pPr>
      <w:r>
        <w:continuationSeparator/>
      </w:r>
    </w:p>
  </w:footnote>
  <w:footnote w:type="continuationNotice" w:id="1">
    <w:p w14:paraId="399F63B9" w14:textId="77777777" w:rsidR="00640FF8" w:rsidRDefault="00640F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4EAA8" w14:textId="062CB9A6" w:rsidR="00D25D7E" w:rsidRDefault="00AE709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7CDABB71" wp14:editId="7572572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17A37D" w14:textId="36E7D23F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CDABB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517A37D" w14:textId="36E7D23F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862A" w14:textId="201CB573" w:rsidR="00A6020A" w:rsidRDefault="00AE7099" w:rsidP="00E577B1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869C610" wp14:editId="4F40754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29FE0" w14:textId="4DFC2B24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869C61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3429FE0" w14:textId="4DFC2B24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SL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D72C" w14:textId="7DBF2B83" w:rsidR="00D25D7E" w:rsidRDefault="00AE709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F548E3" wp14:editId="21030F7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F575C" w14:textId="64A70D7B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9F54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05F575C" w14:textId="64A70D7B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73D3853"/>
    <w:multiLevelType w:val="hybridMultilevel"/>
    <w:tmpl w:val="30522BE8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18233CA"/>
    <w:multiLevelType w:val="hybridMultilevel"/>
    <w:tmpl w:val="121E8CF0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4C71D7"/>
    <w:multiLevelType w:val="hybridMultilevel"/>
    <w:tmpl w:val="BC489BA8"/>
    <w:lvl w:ilvl="0" w:tplc="0809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7370B5"/>
    <w:multiLevelType w:val="hybridMultilevel"/>
    <w:tmpl w:val="6552965A"/>
    <w:lvl w:ilvl="0" w:tplc="0809001B">
      <w:start w:val="1"/>
      <w:numFmt w:val="lowerRoman"/>
      <w:lvlText w:val="%1."/>
      <w:lvlJc w:val="righ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627253">
    <w:abstractNumId w:val="0"/>
  </w:num>
  <w:num w:numId="2" w16cid:durableId="798644585">
    <w:abstractNumId w:val="19"/>
  </w:num>
  <w:num w:numId="3" w16cid:durableId="1024133282">
    <w:abstractNumId w:val="26"/>
  </w:num>
  <w:num w:numId="4" w16cid:durableId="1992908972">
    <w:abstractNumId w:val="14"/>
  </w:num>
  <w:num w:numId="5" w16cid:durableId="961426123">
    <w:abstractNumId w:val="22"/>
  </w:num>
  <w:num w:numId="6" w16cid:durableId="2133818245">
    <w:abstractNumId w:val="13"/>
  </w:num>
  <w:num w:numId="7" w16cid:durableId="138495051">
    <w:abstractNumId w:val="25"/>
  </w:num>
  <w:num w:numId="8" w16cid:durableId="2031376384">
    <w:abstractNumId w:val="4"/>
  </w:num>
  <w:num w:numId="9" w16cid:durableId="618881500">
    <w:abstractNumId w:val="20"/>
  </w:num>
  <w:num w:numId="10" w16cid:durableId="739792580">
    <w:abstractNumId w:val="11"/>
  </w:num>
  <w:num w:numId="11" w16cid:durableId="1574702319">
    <w:abstractNumId w:val="16"/>
  </w:num>
  <w:num w:numId="12" w16cid:durableId="292907557">
    <w:abstractNumId w:val="8"/>
  </w:num>
  <w:num w:numId="13" w16cid:durableId="635065301">
    <w:abstractNumId w:val="21"/>
  </w:num>
  <w:num w:numId="14" w16cid:durableId="2070495094">
    <w:abstractNumId w:val="18"/>
  </w:num>
  <w:num w:numId="15" w16cid:durableId="1490900145">
    <w:abstractNumId w:val="24"/>
  </w:num>
  <w:num w:numId="16" w16cid:durableId="2002273627">
    <w:abstractNumId w:val="10"/>
  </w:num>
  <w:num w:numId="17" w16cid:durableId="186867669">
    <w:abstractNumId w:val="15"/>
  </w:num>
  <w:num w:numId="18" w16cid:durableId="692345895">
    <w:abstractNumId w:val="9"/>
  </w:num>
  <w:num w:numId="19" w16cid:durableId="632297362">
    <w:abstractNumId w:val="23"/>
  </w:num>
  <w:num w:numId="20" w16cid:durableId="1526017383">
    <w:abstractNumId w:val="1"/>
  </w:num>
  <w:num w:numId="21" w16cid:durableId="1185287795">
    <w:abstractNumId w:val="6"/>
  </w:num>
  <w:num w:numId="22" w16cid:durableId="526065923">
    <w:abstractNumId w:val="3"/>
  </w:num>
  <w:num w:numId="23" w16cid:durableId="1553075888">
    <w:abstractNumId w:val="12"/>
  </w:num>
  <w:num w:numId="24" w16cid:durableId="474299294">
    <w:abstractNumId w:val="21"/>
  </w:num>
  <w:num w:numId="25" w16cid:durableId="89858312">
    <w:abstractNumId w:val="21"/>
  </w:num>
  <w:num w:numId="26" w16cid:durableId="1371304306">
    <w:abstractNumId w:val="21"/>
  </w:num>
  <w:num w:numId="27" w16cid:durableId="713700720">
    <w:abstractNumId w:val="21"/>
  </w:num>
  <w:num w:numId="28" w16cid:durableId="320695268">
    <w:abstractNumId w:val="17"/>
  </w:num>
  <w:num w:numId="29" w16cid:durableId="1538926268">
    <w:abstractNumId w:val="5"/>
  </w:num>
  <w:num w:numId="30" w16cid:durableId="1999142083">
    <w:abstractNumId w:val="2"/>
  </w:num>
  <w:num w:numId="31" w16cid:durableId="2070807001">
    <w:abstractNumId w:val="21"/>
  </w:num>
  <w:num w:numId="32" w16cid:durableId="1536692119">
    <w:abstractNumId w:val="21"/>
  </w:num>
  <w:num w:numId="33" w16cid:durableId="1935822808">
    <w:abstractNumId w:val="21"/>
  </w:num>
  <w:num w:numId="34" w16cid:durableId="1916696446">
    <w:abstractNumId w:val="21"/>
  </w:num>
  <w:num w:numId="35" w16cid:durableId="579212693">
    <w:abstractNumId w:val="21"/>
  </w:num>
  <w:num w:numId="36" w16cid:durableId="500699256">
    <w:abstractNumId w:val="21"/>
  </w:num>
  <w:num w:numId="37" w16cid:durableId="313922558">
    <w:abstractNumId w:val="7"/>
  </w:num>
  <w:num w:numId="38" w16cid:durableId="53713351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84FEB"/>
    <w:rsid w:val="000020E5"/>
    <w:rsid w:val="00004535"/>
    <w:rsid w:val="00004FE8"/>
    <w:rsid w:val="00005765"/>
    <w:rsid w:val="00005FFC"/>
    <w:rsid w:val="0000647C"/>
    <w:rsid w:val="000078BB"/>
    <w:rsid w:val="00007D0D"/>
    <w:rsid w:val="00011BD0"/>
    <w:rsid w:val="00013EF3"/>
    <w:rsid w:val="00014890"/>
    <w:rsid w:val="00020A6B"/>
    <w:rsid w:val="000232E2"/>
    <w:rsid w:val="000243CE"/>
    <w:rsid w:val="00025213"/>
    <w:rsid w:val="0002657F"/>
    <w:rsid w:val="00027242"/>
    <w:rsid w:val="000308EC"/>
    <w:rsid w:val="000326C1"/>
    <w:rsid w:val="000326ED"/>
    <w:rsid w:val="00037093"/>
    <w:rsid w:val="000471B0"/>
    <w:rsid w:val="0005400A"/>
    <w:rsid w:val="0005609F"/>
    <w:rsid w:val="00057362"/>
    <w:rsid w:val="0006041B"/>
    <w:rsid w:val="0006070B"/>
    <w:rsid w:val="00061381"/>
    <w:rsid w:val="00061E48"/>
    <w:rsid w:val="00063085"/>
    <w:rsid w:val="00072201"/>
    <w:rsid w:val="000752C0"/>
    <w:rsid w:val="00076091"/>
    <w:rsid w:val="00076252"/>
    <w:rsid w:val="00076880"/>
    <w:rsid w:val="000828C6"/>
    <w:rsid w:val="00084E48"/>
    <w:rsid w:val="0008513B"/>
    <w:rsid w:val="000858A9"/>
    <w:rsid w:val="000907F9"/>
    <w:rsid w:val="0009555F"/>
    <w:rsid w:val="000958DC"/>
    <w:rsid w:val="00097D02"/>
    <w:rsid w:val="000A1640"/>
    <w:rsid w:val="000A1FD8"/>
    <w:rsid w:val="000B0613"/>
    <w:rsid w:val="000B0EBE"/>
    <w:rsid w:val="000C03AE"/>
    <w:rsid w:val="000C1DA4"/>
    <w:rsid w:val="000C43E4"/>
    <w:rsid w:val="000C4999"/>
    <w:rsid w:val="000C57E4"/>
    <w:rsid w:val="000D220D"/>
    <w:rsid w:val="000D2539"/>
    <w:rsid w:val="000D2664"/>
    <w:rsid w:val="000D77A6"/>
    <w:rsid w:val="000E13C0"/>
    <w:rsid w:val="000E1572"/>
    <w:rsid w:val="000E20F0"/>
    <w:rsid w:val="000E29C9"/>
    <w:rsid w:val="000E6DE9"/>
    <w:rsid w:val="000E7BA8"/>
    <w:rsid w:val="000F083B"/>
    <w:rsid w:val="000F0ADF"/>
    <w:rsid w:val="000F2F09"/>
    <w:rsid w:val="000F4183"/>
    <w:rsid w:val="000F4702"/>
    <w:rsid w:val="000F4EF7"/>
    <w:rsid w:val="000F6A80"/>
    <w:rsid w:val="000F6B25"/>
    <w:rsid w:val="00102A42"/>
    <w:rsid w:val="00111EB1"/>
    <w:rsid w:val="001152F0"/>
    <w:rsid w:val="001156CB"/>
    <w:rsid w:val="0012049B"/>
    <w:rsid w:val="00122DF3"/>
    <w:rsid w:val="00124B85"/>
    <w:rsid w:val="00124BAE"/>
    <w:rsid w:val="001273B5"/>
    <w:rsid w:val="00133671"/>
    <w:rsid w:val="00133AC1"/>
    <w:rsid w:val="00136316"/>
    <w:rsid w:val="001402DB"/>
    <w:rsid w:val="00141BC0"/>
    <w:rsid w:val="001432EE"/>
    <w:rsid w:val="00153D11"/>
    <w:rsid w:val="001570C4"/>
    <w:rsid w:val="0016249C"/>
    <w:rsid w:val="00163DBA"/>
    <w:rsid w:val="00165232"/>
    <w:rsid w:val="001721BD"/>
    <w:rsid w:val="0017420B"/>
    <w:rsid w:val="00174E95"/>
    <w:rsid w:val="00175742"/>
    <w:rsid w:val="00175957"/>
    <w:rsid w:val="00175E85"/>
    <w:rsid w:val="001809F0"/>
    <w:rsid w:val="00183B7A"/>
    <w:rsid w:val="00184E8A"/>
    <w:rsid w:val="001854F6"/>
    <w:rsid w:val="00185877"/>
    <w:rsid w:val="001919E9"/>
    <w:rsid w:val="00192252"/>
    <w:rsid w:val="0019727E"/>
    <w:rsid w:val="001A387F"/>
    <w:rsid w:val="001A40BD"/>
    <w:rsid w:val="001A44B3"/>
    <w:rsid w:val="001A45DE"/>
    <w:rsid w:val="001A646C"/>
    <w:rsid w:val="001B1C31"/>
    <w:rsid w:val="001B2E15"/>
    <w:rsid w:val="001B416C"/>
    <w:rsid w:val="001B4EA5"/>
    <w:rsid w:val="001C05DD"/>
    <w:rsid w:val="001C1392"/>
    <w:rsid w:val="001D1143"/>
    <w:rsid w:val="001D3931"/>
    <w:rsid w:val="001D7FA7"/>
    <w:rsid w:val="001E01BA"/>
    <w:rsid w:val="001E0746"/>
    <w:rsid w:val="001E0A00"/>
    <w:rsid w:val="001E1770"/>
    <w:rsid w:val="001E2C99"/>
    <w:rsid w:val="001E4846"/>
    <w:rsid w:val="001E5A75"/>
    <w:rsid w:val="001E6B9D"/>
    <w:rsid w:val="001E7A23"/>
    <w:rsid w:val="001F13DC"/>
    <w:rsid w:val="001F2920"/>
    <w:rsid w:val="001F5AC3"/>
    <w:rsid w:val="001F5FFF"/>
    <w:rsid w:val="002008A8"/>
    <w:rsid w:val="00203471"/>
    <w:rsid w:val="00204C72"/>
    <w:rsid w:val="002065F3"/>
    <w:rsid w:val="00206DF5"/>
    <w:rsid w:val="0021389C"/>
    <w:rsid w:val="00213DC3"/>
    <w:rsid w:val="002145FC"/>
    <w:rsid w:val="0021767A"/>
    <w:rsid w:val="002201EA"/>
    <w:rsid w:val="0022074D"/>
    <w:rsid w:val="00221103"/>
    <w:rsid w:val="00221BC8"/>
    <w:rsid w:val="0022286F"/>
    <w:rsid w:val="00222AC6"/>
    <w:rsid w:val="00225D42"/>
    <w:rsid w:val="002272AF"/>
    <w:rsid w:val="0023488F"/>
    <w:rsid w:val="002357EA"/>
    <w:rsid w:val="0023744A"/>
    <w:rsid w:val="00245325"/>
    <w:rsid w:val="00250176"/>
    <w:rsid w:val="002501FF"/>
    <w:rsid w:val="002506A3"/>
    <w:rsid w:val="00253022"/>
    <w:rsid w:val="00253C85"/>
    <w:rsid w:val="00254DF6"/>
    <w:rsid w:val="00257DD0"/>
    <w:rsid w:val="00260BC4"/>
    <w:rsid w:val="00260FD8"/>
    <w:rsid w:val="00261161"/>
    <w:rsid w:val="00262C1B"/>
    <w:rsid w:val="00264FBF"/>
    <w:rsid w:val="002664C7"/>
    <w:rsid w:val="0026790E"/>
    <w:rsid w:val="00271C8B"/>
    <w:rsid w:val="00272446"/>
    <w:rsid w:val="002779CE"/>
    <w:rsid w:val="00281D57"/>
    <w:rsid w:val="002837CF"/>
    <w:rsid w:val="00285E2F"/>
    <w:rsid w:val="00291779"/>
    <w:rsid w:val="002920FF"/>
    <w:rsid w:val="002A04D3"/>
    <w:rsid w:val="002A076F"/>
    <w:rsid w:val="002A242A"/>
    <w:rsid w:val="002A7428"/>
    <w:rsid w:val="002A74C1"/>
    <w:rsid w:val="002A7FF5"/>
    <w:rsid w:val="002B264F"/>
    <w:rsid w:val="002B6F88"/>
    <w:rsid w:val="002C41F1"/>
    <w:rsid w:val="002C6263"/>
    <w:rsid w:val="002D2648"/>
    <w:rsid w:val="002D4E10"/>
    <w:rsid w:val="002D6B9E"/>
    <w:rsid w:val="002E053A"/>
    <w:rsid w:val="002E2061"/>
    <w:rsid w:val="002E28B2"/>
    <w:rsid w:val="002E30C8"/>
    <w:rsid w:val="002E3720"/>
    <w:rsid w:val="002E4EB7"/>
    <w:rsid w:val="002E587F"/>
    <w:rsid w:val="002F0367"/>
    <w:rsid w:val="002F0D58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4A28"/>
    <w:rsid w:val="00325A59"/>
    <w:rsid w:val="003261B0"/>
    <w:rsid w:val="00331FE6"/>
    <w:rsid w:val="00332D09"/>
    <w:rsid w:val="00333A44"/>
    <w:rsid w:val="003369E2"/>
    <w:rsid w:val="00340064"/>
    <w:rsid w:val="0034414E"/>
    <w:rsid w:val="00345E53"/>
    <w:rsid w:val="00347FF9"/>
    <w:rsid w:val="00357F63"/>
    <w:rsid w:val="003616A1"/>
    <w:rsid w:val="00363FCE"/>
    <w:rsid w:val="00365FA3"/>
    <w:rsid w:val="00367F15"/>
    <w:rsid w:val="00370EBE"/>
    <w:rsid w:val="00371593"/>
    <w:rsid w:val="0037299F"/>
    <w:rsid w:val="00372D30"/>
    <w:rsid w:val="00373A71"/>
    <w:rsid w:val="00375F61"/>
    <w:rsid w:val="003859C7"/>
    <w:rsid w:val="00387AB9"/>
    <w:rsid w:val="00387E40"/>
    <w:rsid w:val="00390DDA"/>
    <w:rsid w:val="00391956"/>
    <w:rsid w:val="00393539"/>
    <w:rsid w:val="003A0C05"/>
    <w:rsid w:val="003A200A"/>
    <w:rsid w:val="003A2135"/>
    <w:rsid w:val="003A3C8E"/>
    <w:rsid w:val="003A3E0C"/>
    <w:rsid w:val="003A449C"/>
    <w:rsid w:val="003A767F"/>
    <w:rsid w:val="003B0BD3"/>
    <w:rsid w:val="003B166F"/>
    <w:rsid w:val="003B3DBB"/>
    <w:rsid w:val="003B6551"/>
    <w:rsid w:val="003B784B"/>
    <w:rsid w:val="003C05CB"/>
    <w:rsid w:val="003C2566"/>
    <w:rsid w:val="003C60B9"/>
    <w:rsid w:val="003D108A"/>
    <w:rsid w:val="003D10E9"/>
    <w:rsid w:val="003D2987"/>
    <w:rsid w:val="003D431C"/>
    <w:rsid w:val="003D446E"/>
    <w:rsid w:val="003D56DE"/>
    <w:rsid w:val="003E0595"/>
    <w:rsid w:val="003E2A3B"/>
    <w:rsid w:val="003E2DB4"/>
    <w:rsid w:val="003F1100"/>
    <w:rsid w:val="003F15BB"/>
    <w:rsid w:val="003F29ED"/>
    <w:rsid w:val="003F2C1B"/>
    <w:rsid w:val="003F4BA1"/>
    <w:rsid w:val="003F65EC"/>
    <w:rsid w:val="00400DDB"/>
    <w:rsid w:val="00401111"/>
    <w:rsid w:val="00405B22"/>
    <w:rsid w:val="00406A75"/>
    <w:rsid w:val="00410FAC"/>
    <w:rsid w:val="00412D44"/>
    <w:rsid w:val="00415627"/>
    <w:rsid w:val="00415A1B"/>
    <w:rsid w:val="00415BAF"/>
    <w:rsid w:val="00417752"/>
    <w:rsid w:val="00422064"/>
    <w:rsid w:val="00427728"/>
    <w:rsid w:val="0043001B"/>
    <w:rsid w:val="004345C2"/>
    <w:rsid w:val="00435F58"/>
    <w:rsid w:val="004374F3"/>
    <w:rsid w:val="004377DA"/>
    <w:rsid w:val="004377E2"/>
    <w:rsid w:val="0044118B"/>
    <w:rsid w:val="00443003"/>
    <w:rsid w:val="00445E06"/>
    <w:rsid w:val="00446C32"/>
    <w:rsid w:val="00452FEF"/>
    <w:rsid w:val="0045477F"/>
    <w:rsid w:val="00455364"/>
    <w:rsid w:val="0046092C"/>
    <w:rsid w:val="00461A5A"/>
    <w:rsid w:val="00461E72"/>
    <w:rsid w:val="00462F08"/>
    <w:rsid w:val="0047002B"/>
    <w:rsid w:val="0047503C"/>
    <w:rsid w:val="00480C9B"/>
    <w:rsid w:val="0048116C"/>
    <w:rsid w:val="00481E04"/>
    <w:rsid w:val="00484DDA"/>
    <w:rsid w:val="004901BE"/>
    <w:rsid w:val="004927EA"/>
    <w:rsid w:val="0049414E"/>
    <w:rsid w:val="004965AF"/>
    <w:rsid w:val="00496F5D"/>
    <w:rsid w:val="004A23BC"/>
    <w:rsid w:val="004A4CEC"/>
    <w:rsid w:val="004A4FE1"/>
    <w:rsid w:val="004A5880"/>
    <w:rsid w:val="004A5B72"/>
    <w:rsid w:val="004A5FA6"/>
    <w:rsid w:val="004A6C52"/>
    <w:rsid w:val="004B18DC"/>
    <w:rsid w:val="004B2023"/>
    <w:rsid w:val="004B2302"/>
    <w:rsid w:val="004B2A17"/>
    <w:rsid w:val="004B3DB3"/>
    <w:rsid w:val="004B4BB9"/>
    <w:rsid w:val="004B5E54"/>
    <w:rsid w:val="004B6CDE"/>
    <w:rsid w:val="004C0B2A"/>
    <w:rsid w:val="004C2CFD"/>
    <w:rsid w:val="004C41D1"/>
    <w:rsid w:val="004C46D2"/>
    <w:rsid w:val="004D10E3"/>
    <w:rsid w:val="004E04BF"/>
    <w:rsid w:val="004E6287"/>
    <w:rsid w:val="004E748D"/>
    <w:rsid w:val="004F5080"/>
    <w:rsid w:val="00502390"/>
    <w:rsid w:val="00502665"/>
    <w:rsid w:val="00502FC6"/>
    <w:rsid w:val="00503445"/>
    <w:rsid w:val="0050399F"/>
    <w:rsid w:val="005040F5"/>
    <w:rsid w:val="005067A1"/>
    <w:rsid w:val="00511DAB"/>
    <w:rsid w:val="005135D6"/>
    <w:rsid w:val="005144BB"/>
    <w:rsid w:val="005161E1"/>
    <w:rsid w:val="00516E92"/>
    <w:rsid w:val="00527482"/>
    <w:rsid w:val="00530AF1"/>
    <w:rsid w:val="00530FC7"/>
    <w:rsid w:val="005324B7"/>
    <w:rsid w:val="0053327A"/>
    <w:rsid w:val="00533D6A"/>
    <w:rsid w:val="005353CF"/>
    <w:rsid w:val="00536020"/>
    <w:rsid w:val="00536E77"/>
    <w:rsid w:val="005418AC"/>
    <w:rsid w:val="00541F3E"/>
    <w:rsid w:val="005429A0"/>
    <w:rsid w:val="00543CDC"/>
    <w:rsid w:val="005509E5"/>
    <w:rsid w:val="005511AD"/>
    <w:rsid w:val="00552E3E"/>
    <w:rsid w:val="0055302C"/>
    <w:rsid w:val="0055791B"/>
    <w:rsid w:val="005616B4"/>
    <w:rsid w:val="00563313"/>
    <w:rsid w:val="00563728"/>
    <w:rsid w:val="00563BBC"/>
    <w:rsid w:val="00564A89"/>
    <w:rsid w:val="00564CFE"/>
    <w:rsid w:val="00565031"/>
    <w:rsid w:val="0057435E"/>
    <w:rsid w:val="00575744"/>
    <w:rsid w:val="005809CD"/>
    <w:rsid w:val="00585466"/>
    <w:rsid w:val="0058585A"/>
    <w:rsid w:val="00587BFA"/>
    <w:rsid w:val="005911AC"/>
    <w:rsid w:val="005932A3"/>
    <w:rsid w:val="00593E1F"/>
    <w:rsid w:val="00595F1C"/>
    <w:rsid w:val="005A18FB"/>
    <w:rsid w:val="005A2363"/>
    <w:rsid w:val="005A6305"/>
    <w:rsid w:val="005A7228"/>
    <w:rsid w:val="005A79D0"/>
    <w:rsid w:val="005A7F4C"/>
    <w:rsid w:val="005B02DE"/>
    <w:rsid w:val="005B0C8D"/>
    <w:rsid w:val="005B13A0"/>
    <w:rsid w:val="005B1BC6"/>
    <w:rsid w:val="005B1CE2"/>
    <w:rsid w:val="005B1D1D"/>
    <w:rsid w:val="005B1F21"/>
    <w:rsid w:val="005B45AF"/>
    <w:rsid w:val="005B4769"/>
    <w:rsid w:val="005B6F8B"/>
    <w:rsid w:val="005B790A"/>
    <w:rsid w:val="005C1BC9"/>
    <w:rsid w:val="005C287F"/>
    <w:rsid w:val="005C453E"/>
    <w:rsid w:val="005C4A33"/>
    <w:rsid w:val="005C7A91"/>
    <w:rsid w:val="005D254B"/>
    <w:rsid w:val="005D6364"/>
    <w:rsid w:val="005F16BE"/>
    <w:rsid w:val="005F5B6B"/>
    <w:rsid w:val="005F6FDF"/>
    <w:rsid w:val="006001D9"/>
    <w:rsid w:val="00601450"/>
    <w:rsid w:val="0060294D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01A8"/>
    <w:rsid w:val="00627143"/>
    <w:rsid w:val="006317A9"/>
    <w:rsid w:val="00632F57"/>
    <w:rsid w:val="006331D1"/>
    <w:rsid w:val="00634466"/>
    <w:rsid w:val="0063522C"/>
    <w:rsid w:val="00640FF8"/>
    <w:rsid w:val="00643011"/>
    <w:rsid w:val="006444FA"/>
    <w:rsid w:val="00645620"/>
    <w:rsid w:val="00646CBA"/>
    <w:rsid w:val="00650DB8"/>
    <w:rsid w:val="00651C18"/>
    <w:rsid w:val="00652DF7"/>
    <w:rsid w:val="00652F11"/>
    <w:rsid w:val="00654440"/>
    <w:rsid w:val="00657F38"/>
    <w:rsid w:val="0066173C"/>
    <w:rsid w:val="00663E49"/>
    <w:rsid w:val="00670A5E"/>
    <w:rsid w:val="00673F9D"/>
    <w:rsid w:val="006746DB"/>
    <w:rsid w:val="006771CE"/>
    <w:rsid w:val="006778A2"/>
    <w:rsid w:val="00686F1D"/>
    <w:rsid w:val="006916DC"/>
    <w:rsid w:val="00693708"/>
    <w:rsid w:val="00694888"/>
    <w:rsid w:val="00696F12"/>
    <w:rsid w:val="006A01F5"/>
    <w:rsid w:val="006A5CCF"/>
    <w:rsid w:val="006A7489"/>
    <w:rsid w:val="006B10DE"/>
    <w:rsid w:val="006B19A0"/>
    <w:rsid w:val="006B2A31"/>
    <w:rsid w:val="006B34BE"/>
    <w:rsid w:val="006B55D6"/>
    <w:rsid w:val="006B5BA8"/>
    <w:rsid w:val="006B6512"/>
    <w:rsid w:val="006B7228"/>
    <w:rsid w:val="006C0915"/>
    <w:rsid w:val="006C11BB"/>
    <w:rsid w:val="006C22E7"/>
    <w:rsid w:val="006C3FF9"/>
    <w:rsid w:val="006C4174"/>
    <w:rsid w:val="006C45C6"/>
    <w:rsid w:val="006D3D79"/>
    <w:rsid w:val="006D4517"/>
    <w:rsid w:val="006D49F3"/>
    <w:rsid w:val="006D5FE5"/>
    <w:rsid w:val="006E3A33"/>
    <w:rsid w:val="006E3E65"/>
    <w:rsid w:val="006E52E7"/>
    <w:rsid w:val="006F11C3"/>
    <w:rsid w:val="006F1DEB"/>
    <w:rsid w:val="006F3133"/>
    <w:rsid w:val="00704711"/>
    <w:rsid w:val="007111EB"/>
    <w:rsid w:val="00711602"/>
    <w:rsid w:val="00711F3A"/>
    <w:rsid w:val="00712B6C"/>
    <w:rsid w:val="00713F52"/>
    <w:rsid w:val="00715084"/>
    <w:rsid w:val="0072061E"/>
    <w:rsid w:val="00721A22"/>
    <w:rsid w:val="00721CEA"/>
    <w:rsid w:val="00721E4B"/>
    <w:rsid w:val="007247ED"/>
    <w:rsid w:val="007260B2"/>
    <w:rsid w:val="00727CAB"/>
    <w:rsid w:val="00734FC1"/>
    <w:rsid w:val="0073581C"/>
    <w:rsid w:val="00736AD5"/>
    <w:rsid w:val="00736D27"/>
    <w:rsid w:val="007420C6"/>
    <w:rsid w:val="007434D0"/>
    <w:rsid w:val="007503D4"/>
    <w:rsid w:val="0075401D"/>
    <w:rsid w:val="00754E7E"/>
    <w:rsid w:val="0075517F"/>
    <w:rsid w:val="007567D8"/>
    <w:rsid w:val="0076257F"/>
    <w:rsid w:val="00763A4B"/>
    <w:rsid w:val="00764E61"/>
    <w:rsid w:val="00766432"/>
    <w:rsid w:val="0076755A"/>
    <w:rsid w:val="00770527"/>
    <w:rsid w:val="00773564"/>
    <w:rsid w:val="00773C32"/>
    <w:rsid w:val="00774712"/>
    <w:rsid w:val="007759BD"/>
    <w:rsid w:val="0078015D"/>
    <w:rsid w:val="00781160"/>
    <w:rsid w:val="007827A3"/>
    <w:rsid w:val="00785C81"/>
    <w:rsid w:val="00785E60"/>
    <w:rsid w:val="007864CA"/>
    <w:rsid w:val="00787CDE"/>
    <w:rsid w:val="007A1D61"/>
    <w:rsid w:val="007A3E00"/>
    <w:rsid w:val="007A6B83"/>
    <w:rsid w:val="007B003C"/>
    <w:rsid w:val="007B0068"/>
    <w:rsid w:val="007B0AC3"/>
    <w:rsid w:val="007B2752"/>
    <w:rsid w:val="007B5341"/>
    <w:rsid w:val="007B5523"/>
    <w:rsid w:val="007C2A7D"/>
    <w:rsid w:val="007C4C33"/>
    <w:rsid w:val="007D2AEF"/>
    <w:rsid w:val="007D7518"/>
    <w:rsid w:val="007E18BB"/>
    <w:rsid w:val="007E1AB4"/>
    <w:rsid w:val="007E3047"/>
    <w:rsid w:val="007E33D4"/>
    <w:rsid w:val="007E475F"/>
    <w:rsid w:val="007E4FF6"/>
    <w:rsid w:val="007F0442"/>
    <w:rsid w:val="007F6890"/>
    <w:rsid w:val="007F7A60"/>
    <w:rsid w:val="00800D4D"/>
    <w:rsid w:val="008024B2"/>
    <w:rsid w:val="00804409"/>
    <w:rsid w:val="008049DD"/>
    <w:rsid w:val="00810020"/>
    <w:rsid w:val="00815352"/>
    <w:rsid w:val="00816866"/>
    <w:rsid w:val="00816B32"/>
    <w:rsid w:val="00820370"/>
    <w:rsid w:val="00820E23"/>
    <w:rsid w:val="00826369"/>
    <w:rsid w:val="008274E7"/>
    <w:rsid w:val="00827661"/>
    <w:rsid w:val="0083444D"/>
    <w:rsid w:val="00835434"/>
    <w:rsid w:val="00835C71"/>
    <w:rsid w:val="00837C8C"/>
    <w:rsid w:val="00840FC0"/>
    <w:rsid w:val="008420D9"/>
    <w:rsid w:val="0084251A"/>
    <w:rsid w:val="008427C5"/>
    <w:rsid w:val="008451D4"/>
    <w:rsid w:val="00845545"/>
    <w:rsid w:val="00851AEB"/>
    <w:rsid w:val="00852B3E"/>
    <w:rsid w:val="00856854"/>
    <w:rsid w:val="00861241"/>
    <w:rsid w:val="00862FC2"/>
    <w:rsid w:val="0087489F"/>
    <w:rsid w:val="00875044"/>
    <w:rsid w:val="008774F3"/>
    <w:rsid w:val="008815DE"/>
    <w:rsid w:val="0088172D"/>
    <w:rsid w:val="00882CA0"/>
    <w:rsid w:val="00884FEB"/>
    <w:rsid w:val="0088630E"/>
    <w:rsid w:val="00892068"/>
    <w:rsid w:val="00895A26"/>
    <w:rsid w:val="00896567"/>
    <w:rsid w:val="008A054E"/>
    <w:rsid w:val="008A4E00"/>
    <w:rsid w:val="008A68FE"/>
    <w:rsid w:val="008A7A5D"/>
    <w:rsid w:val="008B0FC6"/>
    <w:rsid w:val="008B2F5E"/>
    <w:rsid w:val="008B5777"/>
    <w:rsid w:val="008B6066"/>
    <w:rsid w:val="008B622E"/>
    <w:rsid w:val="008B702C"/>
    <w:rsid w:val="008B7267"/>
    <w:rsid w:val="008C122C"/>
    <w:rsid w:val="008C60AC"/>
    <w:rsid w:val="008C6A88"/>
    <w:rsid w:val="008C6E0B"/>
    <w:rsid w:val="008D2210"/>
    <w:rsid w:val="008D3AC5"/>
    <w:rsid w:val="008D5239"/>
    <w:rsid w:val="008D62B0"/>
    <w:rsid w:val="008D699A"/>
    <w:rsid w:val="008D72DD"/>
    <w:rsid w:val="008D74CD"/>
    <w:rsid w:val="008D7ACC"/>
    <w:rsid w:val="008E039B"/>
    <w:rsid w:val="008E09A8"/>
    <w:rsid w:val="008E0E86"/>
    <w:rsid w:val="008E0F08"/>
    <w:rsid w:val="008E32E9"/>
    <w:rsid w:val="008E3CA9"/>
    <w:rsid w:val="008E47D2"/>
    <w:rsid w:val="008E4B2C"/>
    <w:rsid w:val="008E6D8E"/>
    <w:rsid w:val="008F1D51"/>
    <w:rsid w:val="008F37D9"/>
    <w:rsid w:val="00900C1D"/>
    <w:rsid w:val="00906126"/>
    <w:rsid w:val="00915950"/>
    <w:rsid w:val="00920D63"/>
    <w:rsid w:val="00924EEF"/>
    <w:rsid w:val="00930971"/>
    <w:rsid w:val="0093297E"/>
    <w:rsid w:val="00932D3E"/>
    <w:rsid w:val="00933CEB"/>
    <w:rsid w:val="00934788"/>
    <w:rsid w:val="0093740A"/>
    <w:rsid w:val="00940F49"/>
    <w:rsid w:val="009412BB"/>
    <w:rsid w:val="009421B9"/>
    <w:rsid w:val="00942368"/>
    <w:rsid w:val="0094252A"/>
    <w:rsid w:val="00943222"/>
    <w:rsid w:val="00950950"/>
    <w:rsid w:val="00955F25"/>
    <w:rsid w:val="00965272"/>
    <w:rsid w:val="00971A2C"/>
    <w:rsid w:val="0097489D"/>
    <w:rsid w:val="00980064"/>
    <w:rsid w:val="0098245F"/>
    <w:rsid w:val="00985397"/>
    <w:rsid w:val="0098778D"/>
    <w:rsid w:val="009914EE"/>
    <w:rsid w:val="00991C37"/>
    <w:rsid w:val="0099694B"/>
    <w:rsid w:val="00997789"/>
    <w:rsid w:val="009A0EB0"/>
    <w:rsid w:val="009A1317"/>
    <w:rsid w:val="009A1DC3"/>
    <w:rsid w:val="009A2454"/>
    <w:rsid w:val="009A2E43"/>
    <w:rsid w:val="009A4B3E"/>
    <w:rsid w:val="009A6E08"/>
    <w:rsid w:val="009A7016"/>
    <w:rsid w:val="009B389F"/>
    <w:rsid w:val="009B5A09"/>
    <w:rsid w:val="009B6A46"/>
    <w:rsid w:val="009C001E"/>
    <w:rsid w:val="009C2C58"/>
    <w:rsid w:val="009C3801"/>
    <w:rsid w:val="009C4291"/>
    <w:rsid w:val="009C482C"/>
    <w:rsid w:val="009C4A52"/>
    <w:rsid w:val="009C7987"/>
    <w:rsid w:val="009C7D6A"/>
    <w:rsid w:val="009D19B5"/>
    <w:rsid w:val="009D1D65"/>
    <w:rsid w:val="009D3244"/>
    <w:rsid w:val="009D352D"/>
    <w:rsid w:val="009D386A"/>
    <w:rsid w:val="009D6955"/>
    <w:rsid w:val="009E21CF"/>
    <w:rsid w:val="009E7878"/>
    <w:rsid w:val="009F0F81"/>
    <w:rsid w:val="009F240D"/>
    <w:rsid w:val="009F2A4F"/>
    <w:rsid w:val="009F3AD0"/>
    <w:rsid w:val="009F4E0B"/>
    <w:rsid w:val="00A01C72"/>
    <w:rsid w:val="00A02850"/>
    <w:rsid w:val="00A03C89"/>
    <w:rsid w:val="00A03DC9"/>
    <w:rsid w:val="00A047BA"/>
    <w:rsid w:val="00A0483F"/>
    <w:rsid w:val="00A059BB"/>
    <w:rsid w:val="00A07D99"/>
    <w:rsid w:val="00A1207F"/>
    <w:rsid w:val="00A122F8"/>
    <w:rsid w:val="00A1288A"/>
    <w:rsid w:val="00A136CD"/>
    <w:rsid w:val="00A16DDA"/>
    <w:rsid w:val="00A20C02"/>
    <w:rsid w:val="00A22F1F"/>
    <w:rsid w:val="00A24751"/>
    <w:rsid w:val="00A253E6"/>
    <w:rsid w:val="00A25B20"/>
    <w:rsid w:val="00A27C72"/>
    <w:rsid w:val="00A30A3F"/>
    <w:rsid w:val="00A320B1"/>
    <w:rsid w:val="00A35584"/>
    <w:rsid w:val="00A41B0C"/>
    <w:rsid w:val="00A4309F"/>
    <w:rsid w:val="00A50938"/>
    <w:rsid w:val="00A513E2"/>
    <w:rsid w:val="00A51E75"/>
    <w:rsid w:val="00A6020A"/>
    <w:rsid w:val="00A62F79"/>
    <w:rsid w:val="00A64421"/>
    <w:rsid w:val="00A64C0C"/>
    <w:rsid w:val="00A7074C"/>
    <w:rsid w:val="00A72DF3"/>
    <w:rsid w:val="00A801A9"/>
    <w:rsid w:val="00A80A02"/>
    <w:rsid w:val="00A85CE0"/>
    <w:rsid w:val="00A87F6C"/>
    <w:rsid w:val="00A90BDF"/>
    <w:rsid w:val="00A91E90"/>
    <w:rsid w:val="00A95DED"/>
    <w:rsid w:val="00AA2CD4"/>
    <w:rsid w:val="00AA38AA"/>
    <w:rsid w:val="00AB0383"/>
    <w:rsid w:val="00AB2F46"/>
    <w:rsid w:val="00AB3FB6"/>
    <w:rsid w:val="00AB4E51"/>
    <w:rsid w:val="00AC13D0"/>
    <w:rsid w:val="00AC14E2"/>
    <w:rsid w:val="00AC4B8E"/>
    <w:rsid w:val="00AC5975"/>
    <w:rsid w:val="00AC5EA4"/>
    <w:rsid w:val="00AC5F45"/>
    <w:rsid w:val="00AC7EDE"/>
    <w:rsid w:val="00AD061B"/>
    <w:rsid w:val="00AD3F2E"/>
    <w:rsid w:val="00AD4571"/>
    <w:rsid w:val="00AD4BAD"/>
    <w:rsid w:val="00AD65AE"/>
    <w:rsid w:val="00AD7510"/>
    <w:rsid w:val="00AE1CD7"/>
    <w:rsid w:val="00AE7099"/>
    <w:rsid w:val="00AF13EE"/>
    <w:rsid w:val="00AF3AC6"/>
    <w:rsid w:val="00AF51F7"/>
    <w:rsid w:val="00AF62BC"/>
    <w:rsid w:val="00AF672F"/>
    <w:rsid w:val="00B0091C"/>
    <w:rsid w:val="00B00AEB"/>
    <w:rsid w:val="00B01163"/>
    <w:rsid w:val="00B01830"/>
    <w:rsid w:val="00B0317F"/>
    <w:rsid w:val="00B05632"/>
    <w:rsid w:val="00B057CA"/>
    <w:rsid w:val="00B12EA6"/>
    <w:rsid w:val="00B15280"/>
    <w:rsid w:val="00B17100"/>
    <w:rsid w:val="00B238DE"/>
    <w:rsid w:val="00B31A22"/>
    <w:rsid w:val="00B31FE8"/>
    <w:rsid w:val="00B33BBC"/>
    <w:rsid w:val="00B36BA6"/>
    <w:rsid w:val="00B439B1"/>
    <w:rsid w:val="00B44C92"/>
    <w:rsid w:val="00B45021"/>
    <w:rsid w:val="00B5171B"/>
    <w:rsid w:val="00B51AB6"/>
    <w:rsid w:val="00B51F42"/>
    <w:rsid w:val="00B52219"/>
    <w:rsid w:val="00B52E63"/>
    <w:rsid w:val="00B53022"/>
    <w:rsid w:val="00B53BC8"/>
    <w:rsid w:val="00B53D48"/>
    <w:rsid w:val="00B54B58"/>
    <w:rsid w:val="00B55397"/>
    <w:rsid w:val="00B62EC8"/>
    <w:rsid w:val="00B65AA1"/>
    <w:rsid w:val="00B72188"/>
    <w:rsid w:val="00B743FB"/>
    <w:rsid w:val="00B7489C"/>
    <w:rsid w:val="00B753A9"/>
    <w:rsid w:val="00B822A4"/>
    <w:rsid w:val="00B90541"/>
    <w:rsid w:val="00B9443C"/>
    <w:rsid w:val="00B9580E"/>
    <w:rsid w:val="00B97547"/>
    <w:rsid w:val="00BA3836"/>
    <w:rsid w:val="00BA6E03"/>
    <w:rsid w:val="00BB0ADD"/>
    <w:rsid w:val="00BB24ED"/>
    <w:rsid w:val="00BB4760"/>
    <w:rsid w:val="00BB47EF"/>
    <w:rsid w:val="00BB50BB"/>
    <w:rsid w:val="00BC068F"/>
    <w:rsid w:val="00BC6C9C"/>
    <w:rsid w:val="00BD0C03"/>
    <w:rsid w:val="00BD3607"/>
    <w:rsid w:val="00BD6554"/>
    <w:rsid w:val="00BE1311"/>
    <w:rsid w:val="00BE16D7"/>
    <w:rsid w:val="00BE1EE0"/>
    <w:rsid w:val="00BE358B"/>
    <w:rsid w:val="00BE596A"/>
    <w:rsid w:val="00BF1BCE"/>
    <w:rsid w:val="00BF34CE"/>
    <w:rsid w:val="00BF3E1F"/>
    <w:rsid w:val="00BF3F28"/>
    <w:rsid w:val="00BF7593"/>
    <w:rsid w:val="00C01554"/>
    <w:rsid w:val="00C029A7"/>
    <w:rsid w:val="00C029BC"/>
    <w:rsid w:val="00C04AB6"/>
    <w:rsid w:val="00C04D37"/>
    <w:rsid w:val="00C06D30"/>
    <w:rsid w:val="00C074C4"/>
    <w:rsid w:val="00C10ADF"/>
    <w:rsid w:val="00C10C80"/>
    <w:rsid w:val="00C12FEB"/>
    <w:rsid w:val="00C14552"/>
    <w:rsid w:val="00C21877"/>
    <w:rsid w:val="00C23E10"/>
    <w:rsid w:val="00C25670"/>
    <w:rsid w:val="00C2636B"/>
    <w:rsid w:val="00C2758E"/>
    <w:rsid w:val="00C277FB"/>
    <w:rsid w:val="00C30D17"/>
    <w:rsid w:val="00C312C1"/>
    <w:rsid w:val="00C3194E"/>
    <w:rsid w:val="00C356C8"/>
    <w:rsid w:val="00C367B4"/>
    <w:rsid w:val="00C36B2D"/>
    <w:rsid w:val="00C40D60"/>
    <w:rsid w:val="00C43A7D"/>
    <w:rsid w:val="00C454C9"/>
    <w:rsid w:val="00C46DB1"/>
    <w:rsid w:val="00C47BD3"/>
    <w:rsid w:val="00C503D4"/>
    <w:rsid w:val="00C54763"/>
    <w:rsid w:val="00C563A1"/>
    <w:rsid w:val="00C60BE1"/>
    <w:rsid w:val="00C62E09"/>
    <w:rsid w:val="00C635CF"/>
    <w:rsid w:val="00C66CDE"/>
    <w:rsid w:val="00C707EE"/>
    <w:rsid w:val="00C7499D"/>
    <w:rsid w:val="00C81295"/>
    <w:rsid w:val="00C82CDC"/>
    <w:rsid w:val="00C82E22"/>
    <w:rsid w:val="00C84817"/>
    <w:rsid w:val="00C84BAF"/>
    <w:rsid w:val="00C87CEE"/>
    <w:rsid w:val="00C93F96"/>
    <w:rsid w:val="00C941FF"/>
    <w:rsid w:val="00C942C4"/>
    <w:rsid w:val="00C960CE"/>
    <w:rsid w:val="00C973FB"/>
    <w:rsid w:val="00CA41C1"/>
    <w:rsid w:val="00CA6079"/>
    <w:rsid w:val="00CB28CC"/>
    <w:rsid w:val="00CB484B"/>
    <w:rsid w:val="00CB6B58"/>
    <w:rsid w:val="00CB70A8"/>
    <w:rsid w:val="00CB72F9"/>
    <w:rsid w:val="00CC5B35"/>
    <w:rsid w:val="00CC6811"/>
    <w:rsid w:val="00CC6C57"/>
    <w:rsid w:val="00CD7ED8"/>
    <w:rsid w:val="00CE5ACF"/>
    <w:rsid w:val="00CE73B0"/>
    <w:rsid w:val="00CF25FB"/>
    <w:rsid w:val="00D02770"/>
    <w:rsid w:val="00D027B0"/>
    <w:rsid w:val="00D02EE5"/>
    <w:rsid w:val="00D054C0"/>
    <w:rsid w:val="00D06F70"/>
    <w:rsid w:val="00D146A5"/>
    <w:rsid w:val="00D14A32"/>
    <w:rsid w:val="00D15F38"/>
    <w:rsid w:val="00D177D8"/>
    <w:rsid w:val="00D2018B"/>
    <w:rsid w:val="00D20C67"/>
    <w:rsid w:val="00D2506C"/>
    <w:rsid w:val="00D25D7E"/>
    <w:rsid w:val="00D27CDE"/>
    <w:rsid w:val="00D27F99"/>
    <w:rsid w:val="00D30BE6"/>
    <w:rsid w:val="00D31C7A"/>
    <w:rsid w:val="00D33388"/>
    <w:rsid w:val="00D33B36"/>
    <w:rsid w:val="00D35C30"/>
    <w:rsid w:val="00D36501"/>
    <w:rsid w:val="00D402EE"/>
    <w:rsid w:val="00D452AA"/>
    <w:rsid w:val="00D45770"/>
    <w:rsid w:val="00D523BE"/>
    <w:rsid w:val="00D52DB5"/>
    <w:rsid w:val="00D52FEA"/>
    <w:rsid w:val="00D56AF5"/>
    <w:rsid w:val="00D60795"/>
    <w:rsid w:val="00D60F96"/>
    <w:rsid w:val="00D6494A"/>
    <w:rsid w:val="00D64B66"/>
    <w:rsid w:val="00D6508D"/>
    <w:rsid w:val="00D656E8"/>
    <w:rsid w:val="00D70C93"/>
    <w:rsid w:val="00D71556"/>
    <w:rsid w:val="00D71A84"/>
    <w:rsid w:val="00D808F4"/>
    <w:rsid w:val="00D818F5"/>
    <w:rsid w:val="00D8369E"/>
    <w:rsid w:val="00D84EB7"/>
    <w:rsid w:val="00D87924"/>
    <w:rsid w:val="00D87BAB"/>
    <w:rsid w:val="00D92396"/>
    <w:rsid w:val="00D938B7"/>
    <w:rsid w:val="00D946DB"/>
    <w:rsid w:val="00D96413"/>
    <w:rsid w:val="00D97B1F"/>
    <w:rsid w:val="00DA3B36"/>
    <w:rsid w:val="00DA4B0C"/>
    <w:rsid w:val="00DA4E52"/>
    <w:rsid w:val="00DA537D"/>
    <w:rsid w:val="00DA77E1"/>
    <w:rsid w:val="00DB0F07"/>
    <w:rsid w:val="00DC0752"/>
    <w:rsid w:val="00DC1E52"/>
    <w:rsid w:val="00DC2D05"/>
    <w:rsid w:val="00DC40DA"/>
    <w:rsid w:val="00DC53C0"/>
    <w:rsid w:val="00DC5657"/>
    <w:rsid w:val="00DC5E71"/>
    <w:rsid w:val="00DD2656"/>
    <w:rsid w:val="00DD2B80"/>
    <w:rsid w:val="00DD3562"/>
    <w:rsid w:val="00DD5371"/>
    <w:rsid w:val="00DD6D4C"/>
    <w:rsid w:val="00DD72AA"/>
    <w:rsid w:val="00DE0962"/>
    <w:rsid w:val="00DE2DDE"/>
    <w:rsid w:val="00DE4EF2"/>
    <w:rsid w:val="00DE6E00"/>
    <w:rsid w:val="00DF2805"/>
    <w:rsid w:val="00E001F8"/>
    <w:rsid w:val="00E00708"/>
    <w:rsid w:val="00E00D48"/>
    <w:rsid w:val="00E019D7"/>
    <w:rsid w:val="00E02641"/>
    <w:rsid w:val="00E027A6"/>
    <w:rsid w:val="00E04817"/>
    <w:rsid w:val="00E048CD"/>
    <w:rsid w:val="00E052A9"/>
    <w:rsid w:val="00E07C8E"/>
    <w:rsid w:val="00E10AC3"/>
    <w:rsid w:val="00E11A0C"/>
    <w:rsid w:val="00E11F7B"/>
    <w:rsid w:val="00E133A7"/>
    <w:rsid w:val="00E13733"/>
    <w:rsid w:val="00E1378D"/>
    <w:rsid w:val="00E13A03"/>
    <w:rsid w:val="00E143FD"/>
    <w:rsid w:val="00E1696D"/>
    <w:rsid w:val="00E1750A"/>
    <w:rsid w:val="00E17F31"/>
    <w:rsid w:val="00E20910"/>
    <w:rsid w:val="00E21249"/>
    <w:rsid w:val="00E23B2B"/>
    <w:rsid w:val="00E26869"/>
    <w:rsid w:val="00E27969"/>
    <w:rsid w:val="00E27BC7"/>
    <w:rsid w:val="00E27C4F"/>
    <w:rsid w:val="00E32DA2"/>
    <w:rsid w:val="00E33161"/>
    <w:rsid w:val="00E3319C"/>
    <w:rsid w:val="00E35DE2"/>
    <w:rsid w:val="00E41A58"/>
    <w:rsid w:val="00E46936"/>
    <w:rsid w:val="00E47900"/>
    <w:rsid w:val="00E47CCD"/>
    <w:rsid w:val="00E54B05"/>
    <w:rsid w:val="00E54B9D"/>
    <w:rsid w:val="00E577B1"/>
    <w:rsid w:val="00E62817"/>
    <w:rsid w:val="00E63B98"/>
    <w:rsid w:val="00E66FEA"/>
    <w:rsid w:val="00E70357"/>
    <w:rsid w:val="00E712F9"/>
    <w:rsid w:val="00E75993"/>
    <w:rsid w:val="00E7776E"/>
    <w:rsid w:val="00E804CC"/>
    <w:rsid w:val="00E82ECC"/>
    <w:rsid w:val="00E87EA1"/>
    <w:rsid w:val="00E979D5"/>
    <w:rsid w:val="00EA084B"/>
    <w:rsid w:val="00EA3FEF"/>
    <w:rsid w:val="00EA419C"/>
    <w:rsid w:val="00EB154B"/>
    <w:rsid w:val="00EB4529"/>
    <w:rsid w:val="00EB5804"/>
    <w:rsid w:val="00EB6F18"/>
    <w:rsid w:val="00EC305A"/>
    <w:rsid w:val="00EC35BA"/>
    <w:rsid w:val="00EC5046"/>
    <w:rsid w:val="00ED1CE1"/>
    <w:rsid w:val="00ED4B06"/>
    <w:rsid w:val="00ED55F7"/>
    <w:rsid w:val="00ED5D86"/>
    <w:rsid w:val="00ED74D4"/>
    <w:rsid w:val="00ED7C8E"/>
    <w:rsid w:val="00EE2205"/>
    <w:rsid w:val="00EF0DA4"/>
    <w:rsid w:val="00EF68B1"/>
    <w:rsid w:val="00F00068"/>
    <w:rsid w:val="00F007B3"/>
    <w:rsid w:val="00F0086E"/>
    <w:rsid w:val="00F015E6"/>
    <w:rsid w:val="00F0322C"/>
    <w:rsid w:val="00F12EA3"/>
    <w:rsid w:val="00F1455C"/>
    <w:rsid w:val="00F14B04"/>
    <w:rsid w:val="00F14C0B"/>
    <w:rsid w:val="00F16ACE"/>
    <w:rsid w:val="00F16DFF"/>
    <w:rsid w:val="00F22A29"/>
    <w:rsid w:val="00F30076"/>
    <w:rsid w:val="00F325B9"/>
    <w:rsid w:val="00F33DF7"/>
    <w:rsid w:val="00F356CE"/>
    <w:rsid w:val="00F402D0"/>
    <w:rsid w:val="00F40C76"/>
    <w:rsid w:val="00F41918"/>
    <w:rsid w:val="00F423F0"/>
    <w:rsid w:val="00F44634"/>
    <w:rsid w:val="00F4528F"/>
    <w:rsid w:val="00F459BD"/>
    <w:rsid w:val="00F463F5"/>
    <w:rsid w:val="00F50A59"/>
    <w:rsid w:val="00F5381F"/>
    <w:rsid w:val="00F5524C"/>
    <w:rsid w:val="00F60EC7"/>
    <w:rsid w:val="00F60F37"/>
    <w:rsid w:val="00F61095"/>
    <w:rsid w:val="00F611F0"/>
    <w:rsid w:val="00F620A2"/>
    <w:rsid w:val="00F63BA7"/>
    <w:rsid w:val="00F67747"/>
    <w:rsid w:val="00F6799F"/>
    <w:rsid w:val="00F702D4"/>
    <w:rsid w:val="00F7072C"/>
    <w:rsid w:val="00F71619"/>
    <w:rsid w:val="00F76469"/>
    <w:rsid w:val="00F7749E"/>
    <w:rsid w:val="00F777C7"/>
    <w:rsid w:val="00F80E6B"/>
    <w:rsid w:val="00F875F5"/>
    <w:rsid w:val="00F9369B"/>
    <w:rsid w:val="00F93B5F"/>
    <w:rsid w:val="00FA1268"/>
    <w:rsid w:val="00FA2372"/>
    <w:rsid w:val="00FA37DD"/>
    <w:rsid w:val="00FA5CA1"/>
    <w:rsid w:val="00FA7EBB"/>
    <w:rsid w:val="00FB175F"/>
    <w:rsid w:val="00FB199D"/>
    <w:rsid w:val="00FB1C26"/>
    <w:rsid w:val="00FB1D44"/>
    <w:rsid w:val="00FB2B2F"/>
    <w:rsid w:val="00FB3795"/>
    <w:rsid w:val="00FB4960"/>
    <w:rsid w:val="00FB5258"/>
    <w:rsid w:val="00FC19B1"/>
    <w:rsid w:val="00FC371D"/>
    <w:rsid w:val="00FC4D06"/>
    <w:rsid w:val="00FC56B2"/>
    <w:rsid w:val="00FC6BA7"/>
    <w:rsid w:val="00FC7558"/>
    <w:rsid w:val="00FD09A2"/>
    <w:rsid w:val="00FD7524"/>
    <w:rsid w:val="00FE1465"/>
    <w:rsid w:val="00FE1F45"/>
    <w:rsid w:val="00FE4AE0"/>
    <w:rsid w:val="00FE4D22"/>
    <w:rsid w:val="00FE72ED"/>
    <w:rsid w:val="00FF256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sl-SI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sl-SI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sl-SI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sl-SI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sl-SI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sl-SI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sl-SI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sl-SI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sl-SI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sl-SI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sl-SI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sl-SI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sl-SI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sl-SI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sl-SI" w:eastAsia="en-GB"/>
    </w:rPr>
  </w:style>
  <w:style w:type="character" w:customStyle="1" w:styleId="cf01">
    <w:name w:val="cf01"/>
    <w:basedOn w:val="DefaultParagraphFont"/>
    <w:rsid w:val="00D97B1F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B2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E37A1B-FFA2-4C39-87F5-F668BE76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42F242-5175-476B-9BAF-C8C8C52C2563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5FF50FA9-F1DC-4D93-A245-85D3BE6E73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F85C81-AB8F-4447-8DB9-8BD3A18E06B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1498</Words>
  <Characters>8784</Characters>
  <Application>Microsoft Office Word</Application>
  <DocSecurity>0</DocSecurity>
  <Lines>156</Lines>
  <Paragraphs>65</Paragraphs>
  <ScaleCrop>false</ScaleCrop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2024-06-19T18:10:00Z</dcterms:created>
  <dcterms:modified xsi:type="dcterms:W3CDTF">2025-01-23T14:58:00Z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2025-01-23T14:58:34Z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c14d9609-e7d7-4954-9177-55379727b364</vt:lpwstr>
  </property>
  <property fmtid="{D5CDD505-2E9C-101B-9397-08002B2CF9AE}" pid="9" name="MSIP_Label_6bd9ddd1-4d20-43f6-abfa-fc3c07406f94_ContentBits">
    <vt:lpwstr>0</vt:lpwstr>
  </property>
</Properties>
</file>